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6FA6" w14:textId="7E687A0A" w:rsidR="009B6988" w:rsidRPr="00D53D31" w:rsidRDefault="009B6988" w:rsidP="009B698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3A1008">
        <w:rPr>
          <w:rFonts w:cs="Arial"/>
          <w:b/>
          <w:sz w:val="24"/>
          <w:szCs w:val="24"/>
          <w:lang w:val="sv-SE"/>
        </w:rPr>
        <w:t>6540</w:t>
      </w:r>
    </w:p>
    <w:p w14:paraId="36701649" w14:textId="77777777" w:rsidR="009B6988" w:rsidRDefault="009B6988"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686F0E34" w14:textId="0513C657" w:rsidR="00120883" w:rsidRPr="007044DE" w:rsidRDefault="009B6988" w:rsidP="009B6988">
      <w:pPr>
        <w:pStyle w:val="3GPPHeader"/>
        <w:rPr>
          <w:sz w:val="22"/>
          <w:lang w:val="en-GB"/>
        </w:rPr>
      </w:pPr>
      <w:r w:rsidRPr="00A65AA9">
        <w:rPr>
          <w:rFonts w:eastAsia="PMingLiU"/>
          <w:szCs w:val="28"/>
          <w:lang w:val="en-GB" w:eastAsia="zh-TW"/>
        </w:rPr>
        <w:t>Online</w:t>
      </w:r>
    </w:p>
    <w:p w14:paraId="0780D87B" w14:textId="4C351BF7"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BD2CC4">
        <w:rPr>
          <w:sz w:val="22"/>
          <w:lang w:val="en-GB"/>
        </w:rPr>
        <w:t>8.1</w:t>
      </w:r>
    </w:p>
    <w:p w14:paraId="74FD9643" w14:textId="77777777"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08A89C65"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BD2CC4">
        <w:rPr>
          <w:sz w:val="22"/>
          <w:lang w:val="en-GB"/>
        </w:rPr>
        <w:t xml:space="preserve">Analysis of slice availability principle </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47847A26" w:rsidR="00120883" w:rsidRDefault="00120883" w:rsidP="00120883">
      <w:pPr>
        <w:pStyle w:val="Heading1"/>
      </w:pPr>
      <w:r w:rsidRPr="00CE0424">
        <w:t>Introduction</w:t>
      </w:r>
    </w:p>
    <w:p w14:paraId="404EEB22" w14:textId="559DF145" w:rsidR="00BD2CC4" w:rsidRDefault="00BD2CC4" w:rsidP="00BD2CC4">
      <w:pPr>
        <w:rPr>
          <w:lang w:eastAsia="zh-CN"/>
        </w:rPr>
      </w:pPr>
      <w:r>
        <w:rPr>
          <w:lang w:eastAsia="zh-CN"/>
        </w:rPr>
        <w:t>In S2-2006526, SA2 has presented the following questions to RAN3:</w:t>
      </w:r>
    </w:p>
    <w:p w14:paraId="598CAD76" w14:textId="77777777" w:rsidR="00BD2CC4" w:rsidRPr="00BD2CC4" w:rsidRDefault="00BD2CC4" w:rsidP="00BD2CC4">
      <w:pPr>
        <w:textAlignment w:val="baseline"/>
        <w:rPr>
          <w:i/>
          <w:iCs/>
          <w:lang w:eastAsia="ko-KR"/>
        </w:rPr>
      </w:pPr>
      <w:r w:rsidRPr="00BD2CC4">
        <w:rPr>
          <w:rStyle w:val="Strong"/>
          <w:b w:val="0"/>
          <w:bCs w:val="0"/>
          <w:i/>
          <w:iCs/>
          <w:color w:val="000000" w:themeColor="text1"/>
          <w:shd w:val="clear" w:color="auto" w:fill="FFFFFF"/>
        </w:rPr>
        <w:t>The design of the 5GS in SA2 has assumed that the UE obtains an Allowed NSSAI depending on the TA where the UE is under.  SA2’s assumption is that all</w:t>
      </w:r>
      <w:r w:rsidRPr="00BD2CC4">
        <w:rPr>
          <w:rStyle w:val="apple-converted-space"/>
          <w:i/>
          <w:iCs/>
          <w:color w:val="000000" w:themeColor="text1"/>
          <w:shd w:val="clear" w:color="auto" w:fill="FFFFFF"/>
        </w:rPr>
        <w:t> </w:t>
      </w:r>
      <w:r w:rsidRPr="00BD2CC4">
        <w:rPr>
          <w:rStyle w:val="Strong"/>
          <w:b w:val="0"/>
          <w:bCs w:val="0"/>
          <w:i/>
          <w:iCs/>
          <w:color w:val="000000" w:themeColor="text1"/>
          <w:shd w:val="clear" w:color="auto" w:fill="FFFFFF"/>
        </w:rPr>
        <w:t>S-NSSAIs in the Allowed NSSAI</w:t>
      </w:r>
      <w:r w:rsidRPr="00BD2CC4">
        <w:rPr>
          <w:rStyle w:val="apple-converted-space"/>
          <w:i/>
          <w:iCs/>
          <w:color w:val="000000" w:themeColor="text1"/>
          <w:shd w:val="clear" w:color="auto" w:fill="FFFFFF"/>
        </w:rPr>
        <w:t> </w:t>
      </w:r>
      <w:r w:rsidRPr="00BD2CC4">
        <w:rPr>
          <w:rStyle w:val="Strong"/>
          <w:b w:val="0"/>
          <w:bCs w:val="0"/>
          <w:i/>
          <w:iCs/>
          <w:color w:val="000000" w:themeColor="text1"/>
          <w:shd w:val="clear" w:color="auto" w:fill="FFFFFF"/>
        </w:rPr>
        <w:t>are supported within the TA and also in all TAs of the RA (the RA is constructed based on the TAs that support the Allowed NSSAI determined for the current TA).</w:t>
      </w:r>
      <w:r w:rsidRPr="00BD2CC4">
        <w:rPr>
          <w:rStyle w:val="Strong"/>
          <w:b w:val="0"/>
          <w:bCs w:val="0"/>
          <w:i/>
          <w:iCs/>
          <w:color w:val="000000" w:themeColor="text1"/>
          <w:sz w:val="21"/>
          <w:szCs w:val="21"/>
          <w:shd w:val="clear" w:color="auto" w:fill="FFFFFF"/>
        </w:rPr>
        <w:t xml:space="preserve"> </w:t>
      </w:r>
      <w:r w:rsidRPr="00BD2CC4">
        <w:rPr>
          <w:i/>
          <w:iCs/>
          <w:lang w:eastAsia="ko-KR"/>
        </w:rPr>
        <w:t>SA2 would like to consult with CT1, RAN2 and RAN3 colleagues with the following:</w:t>
      </w:r>
    </w:p>
    <w:p w14:paraId="04E76036" w14:textId="77777777" w:rsidR="00BD2CC4" w:rsidRPr="00BD2CC4" w:rsidRDefault="00BD2CC4" w:rsidP="00BD2CC4">
      <w:pPr>
        <w:textAlignment w:val="baseline"/>
        <w:rPr>
          <w:i/>
          <w:iCs/>
          <w:lang w:eastAsia="en-US"/>
        </w:rPr>
      </w:pPr>
      <w:r w:rsidRPr="00BD2CC4">
        <w:rPr>
          <w:i/>
          <w:iCs/>
          <w:lang w:eastAsia="ko-KR"/>
        </w:rPr>
        <w:t xml:space="preserve">1) </w:t>
      </w:r>
      <w:r w:rsidRPr="00BD2CC4">
        <w:rPr>
          <w:i/>
          <w:iCs/>
        </w:rPr>
        <w:t xml:space="preserve">In Rel-15 and 16, is it expected that each cell in the tracking area supports the same S-NSSAI(s)? (or, said otherwise, do all cells advertising the same TAC support the same set of S-NSSAIs?). </w:t>
      </w:r>
    </w:p>
    <w:p w14:paraId="3B62B103" w14:textId="77777777" w:rsidR="00BD2CC4" w:rsidRPr="00BD2CC4" w:rsidRDefault="00BD2CC4" w:rsidP="00BD2CC4">
      <w:pPr>
        <w:textAlignment w:val="baseline"/>
        <w:rPr>
          <w:i/>
          <w:iCs/>
        </w:rPr>
      </w:pPr>
      <w:r w:rsidRPr="00BD2CC4">
        <w:rPr>
          <w:i/>
          <w:iCs/>
        </w:rPr>
        <w:t>If the answer is "no":</w:t>
      </w:r>
    </w:p>
    <w:p w14:paraId="542D9F2C" w14:textId="77777777" w:rsidR="00BD2CC4" w:rsidRPr="00BD2CC4" w:rsidRDefault="00BD2CC4" w:rsidP="00BD2CC4">
      <w:pPr>
        <w:textAlignment w:val="baseline"/>
        <w:rPr>
          <w:i/>
          <w:iCs/>
        </w:rPr>
      </w:pPr>
      <w:r w:rsidRPr="00BD2CC4">
        <w:rPr>
          <w:i/>
          <w:iCs/>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75404814" w14:textId="77777777" w:rsidR="00BD2CC4" w:rsidRPr="00BD2CC4" w:rsidRDefault="00BD2CC4" w:rsidP="00BD2CC4">
      <w:pPr>
        <w:textAlignment w:val="baseline"/>
        <w:rPr>
          <w:i/>
          <w:iCs/>
        </w:rPr>
      </w:pPr>
      <w:r w:rsidRPr="00BD2CC4">
        <w:rPr>
          <w:i/>
          <w:iCs/>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3E1A1316" w14:textId="77777777" w:rsidR="00BD2CC4" w:rsidRPr="00BD2CC4" w:rsidRDefault="00BD2CC4" w:rsidP="00BD2CC4">
      <w:pPr>
        <w:textAlignment w:val="baseline"/>
        <w:rPr>
          <w:i/>
          <w:iCs/>
        </w:rPr>
      </w:pPr>
      <w:r w:rsidRPr="00BD2CC4">
        <w:rPr>
          <w:i/>
          <w:iCs/>
        </w:rPr>
        <w:t>Note: SA2 is not considering changing any of the Rel-15 and Rel16 assumption on support of the S-NSSAI in the TA that would create deployments incompatible with Rel-15/16 UEs in the field.</w:t>
      </w:r>
    </w:p>
    <w:p w14:paraId="273DB6B7" w14:textId="109EF3AF" w:rsidR="00BD2CC4" w:rsidRDefault="00BD2CC4" w:rsidP="00BD2CC4">
      <w:pPr>
        <w:rPr>
          <w:lang w:eastAsia="zh-CN"/>
        </w:rPr>
      </w:pPr>
    </w:p>
    <w:p w14:paraId="3CF74B81" w14:textId="3066AE19" w:rsidR="00BD2CC4" w:rsidRDefault="00BD2CC4" w:rsidP="00BD2CC4">
      <w:pPr>
        <w:rPr>
          <w:lang w:eastAsia="zh-CN"/>
        </w:rPr>
      </w:pPr>
      <w:r>
        <w:rPr>
          <w:lang w:eastAsia="zh-CN"/>
        </w:rPr>
        <w:t>In this paper the questions from SA2 are analysed and a reply LS is proposed.</w:t>
      </w:r>
    </w:p>
    <w:p w14:paraId="073B7FB5" w14:textId="77777777" w:rsidR="00BD2CC4" w:rsidRPr="00BD2CC4" w:rsidRDefault="00BD2CC4" w:rsidP="00BD2CC4">
      <w:pPr>
        <w:rPr>
          <w:lang w:eastAsia="zh-CN"/>
        </w:rPr>
      </w:pPr>
    </w:p>
    <w:p w14:paraId="2C6DDFA8" w14:textId="71A36710" w:rsidR="00120883" w:rsidRDefault="00120883" w:rsidP="00120883">
      <w:pPr>
        <w:pStyle w:val="Heading1"/>
      </w:pPr>
      <w:bookmarkStart w:id="0" w:name="_Ref178064866"/>
      <w:r w:rsidRPr="00CE0424">
        <w:t>Discussion</w:t>
      </w:r>
      <w:bookmarkEnd w:id="0"/>
    </w:p>
    <w:p w14:paraId="25CD53C7" w14:textId="188CA78D" w:rsidR="00BD2CC4" w:rsidRDefault="00BD2CC4" w:rsidP="00B061D5">
      <w:pPr>
        <w:rPr>
          <w:bCs/>
        </w:rPr>
      </w:pPr>
      <w:r w:rsidRPr="00BD2CC4">
        <w:rPr>
          <w:bCs/>
        </w:rPr>
        <w:t xml:space="preserve">It needs first of all to be </w:t>
      </w:r>
      <w:r w:rsidR="00DB0A9A">
        <w:rPr>
          <w:bCs/>
        </w:rPr>
        <w:t>stated</w:t>
      </w:r>
      <w:r>
        <w:rPr>
          <w:bCs/>
        </w:rPr>
        <w:t xml:space="preserve"> that the Rel15/16 mechanism described by SA2 below is how slice availability has been understood in RAN3:</w:t>
      </w:r>
    </w:p>
    <w:p w14:paraId="5B538CAE" w14:textId="5113BE3A" w:rsidR="00225B92" w:rsidRPr="00BD2CC4" w:rsidRDefault="00BD2CC4" w:rsidP="00B061D5">
      <w:pPr>
        <w:rPr>
          <w:bCs/>
        </w:rPr>
      </w:pPr>
      <w:r w:rsidRPr="00BD2CC4">
        <w:rPr>
          <w:rStyle w:val="Strong"/>
          <w:b w:val="0"/>
          <w:bCs w:val="0"/>
          <w:i/>
          <w:iCs/>
          <w:color w:val="000000" w:themeColor="text1"/>
          <w:shd w:val="clear" w:color="auto" w:fill="FFFFFF"/>
        </w:rPr>
        <w:t>SA2’s assumption is that all</w:t>
      </w:r>
      <w:r w:rsidRPr="00BD2CC4">
        <w:rPr>
          <w:rStyle w:val="apple-converted-space"/>
          <w:i/>
          <w:iCs/>
          <w:color w:val="000000" w:themeColor="text1"/>
          <w:shd w:val="clear" w:color="auto" w:fill="FFFFFF"/>
        </w:rPr>
        <w:t> </w:t>
      </w:r>
      <w:r w:rsidRPr="00BD2CC4">
        <w:rPr>
          <w:rStyle w:val="Strong"/>
          <w:b w:val="0"/>
          <w:bCs w:val="0"/>
          <w:i/>
          <w:iCs/>
          <w:color w:val="000000" w:themeColor="text1"/>
          <w:shd w:val="clear" w:color="auto" w:fill="FFFFFF"/>
        </w:rPr>
        <w:t>S-NSSAIs in the Allowed NSSAI</w:t>
      </w:r>
      <w:r w:rsidRPr="00BD2CC4">
        <w:rPr>
          <w:rStyle w:val="apple-converted-space"/>
          <w:i/>
          <w:iCs/>
          <w:color w:val="000000" w:themeColor="text1"/>
          <w:shd w:val="clear" w:color="auto" w:fill="FFFFFF"/>
        </w:rPr>
        <w:t> </w:t>
      </w:r>
      <w:r w:rsidRPr="00BD2CC4">
        <w:rPr>
          <w:rStyle w:val="Strong"/>
          <w:b w:val="0"/>
          <w:bCs w:val="0"/>
          <w:i/>
          <w:iCs/>
          <w:color w:val="000000" w:themeColor="text1"/>
          <w:shd w:val="clear" w:color="auto" w:fill="FFFFFF"/>
        </w:rPr>
        <w:t>are supported within the TA and also in all TAs of the RA (the RA is constructed based on the TAs that support the Allowed NSSAI determined for the current TA).</w:t>
      </w:r>
      <w:r w:rsidRPr="00BD2CC4">
        <w:rPr>
          <w:rStyle w:val="Strong"/>
          <w:b w:val="0"/>
          <w:bCs w:val="0"/>
          <w:i/>
          <w:iCs/>
          <w:color w:val="000000" w:themeColor="text1"/>
          <w:sz w:val="21"/>
          <w:szCs w:val="21"/>
          <w:shd w:val="clear" w:color="auto" w:fill="FFFFFF"/>
        </w:rPr>
        <w:t xml:space="preserve"> </w:t>
      </w:r>
      <w:r>
        <w:rPr>
          <w:bCs/>
        </w:rPr>
        <w:t xml:space="preserve"> </w:t>
      </w:r>
    </w:p>
    <w:p w14:paraId="737BCFC4" w14:textId="66A60124" w:rsidR="008B1BFF" w:rsidRDefault="00BD2CC4" w:rsidP="00F1632A">
      <w:pPr>
        <w:rPr>
          <w:bCs/>
        </w:rPr>
      </w:pPr>
      <w:r>
        <w:rPr>
          <w:bCs/>
        </w:rPr>
        <w:t>Namely, the assumption in RAN3 has been that the Allowed NSSAI assigned to a UE is uniformly available in all cells forming a Registration Area. The latter has been agreed during RAN3-109-e as shown below:</w:t>
      </w:r>
    </w:p>
    <w:p w14:paraId="0D7CC803" w14:textId="77777777" w:rsidR="00BD2CC4" w:rsidRPr="00BD2CC4" w:rsidRDefault="00BD2CC4" w:rsidP="00BD2CC4">
      <w:pPr>
        <w:widowControl w:val="0"/>
        <w:spacing w:after="0"/>
        <w:ind w:left="144" w:hanging="144"/>
        <w:rPr>
          <w:rFonts w:ascii="Calibri" w:hAnsi="Calibri" w:cs="Calibri"/>
          <w:b/>
          <w:bCs/>
          <w:color w:val="00B050"/>
          <w:sz w:val="18"/>
        </w:rPr>
      </w:pPr>
      <w:r w:rsidRPr="00BD2CC4">
        <w:rPr>
          <w:rFonts w:ascii="Calibri" w:hAnsi="Calibri" w:cs="Calibri"/>
          <w:b/>
          <w:bCs/>
          <w:color w:val="00B050"/>
          <w:sz w:val="18"/>
        </w:rPr>
        <w:t>Status Quo in Rel-16 is that the slices included in an Allowed NSSAI are available anywhere (i.e. in any cell) within the UE’s Registration Area</w:t>
      </w:r>
    </w:p>
    <w:p w14:paraId="0986A536" w14:textId="0711C1D5" w:rsidR="00BD2CC4" w:rsidRDefault="00BD2CC4" w:rsidP="00F1632A">
      <w:pPr>
        <w:rPr>
          <w:bCs/>
        </w:rPr>
      </w:pPr>
    </w:p>
    <w:p w14:paraId="4F45B855" w14:textId="4BA1079E" w:rsidR="00BD2CC4" w:rsidRDefault="00BD2CC4" w:rsidP="00F1632A">
      <w:pPr>
        <w:rPr>
          <w:bCs/>
        </w:rPr>
      </w:pPr>
      <w:r>
        <w:rPr>
          <w:bCs/>
        </w:rPr>
        <w:t>The above understanding has direct implications on the question from SA2 below:</w:t>
      </w:r>
    </w:p>
    <w:p w14:paraId="3FD23DEB" w14:textId="77777777" w:rsidR="00BD2CC4" w:rsidRPr="00BD2CC4" w:rsidRDefault="00BD2CC4" w:rsidP="00BD2CC4">
      <w:pPr>
        <w:textAlignment w:val="baseline"/>
        <w:rPr>
          <w:i/>
          <w:iCs/>
          <w:lang w:eastAsia="en-US"/>
        </w:rPr>
      </w:pPr>
      <w:r w:rsidRPr="00BD2CC4">
        <w:rPr>
          <w:i/>
          <w:iCs/>
          <w:lang w:eastAsia="ko-KR"/>
        </w:rPr>
        <w:t xml:space="preserve">1) </w:t>
      </w:r>
      <w:r w:rsidRPr="00BD2CC4">
        <w:rPr>
          <w:i/>
          <w:iCs/>
        </w:rPr>
        <w:t xml:space="preserve">In Rel-15 and 16, is it expected that each cell in the tracking area supports the same S-NSSAI(s)? (or, said otherwise, do all cells advertising the same TAC support the same set of S-NSSAIs?). </w:t>
      </w:r>
    </w:p>
    <w:p w14:paraId="7BAE05CC" w14:textId="71F1395D" w:rsidR="00BD2CC4" w:rsidRDefault="00BD2CC4" w:rsidP="00F1632A">
      <w:pPr>
        <w:rPr>
          <w:bCs/>
        </w:rPr>
      </w:pPr>
      <w:r>
        <w:rPr>
          <w:bCs/>
        </w:rPr>
        <w:t xml:space="preserve">In fact, if the Allowed NSSAI of each UE needs to be always valid within a RA, this </w:t>
      </w:r>
      <w:r w:rsidR="00543E91">
        <w:rPr>
          <w:bCs/>
        </w:rPr>
        <w:t xml:space="preserve">implies that the S-NSSAIs in such Allowed NSSAI need to be supported by all cells within the RA. </w:t>
      </w:r>
      <w:bookmarkStart w:id="1" w:name="_Hlk53555993"/>
      <w:r w:rsidR="00543E91">
        <w:rPr>
          <w:bCs/>
        </w:rPr>
        <w:t xml:space="preserve">Any </w:t>
      </w:r>
      <w:r w:rsidR="00343D0A">
        <w:rPr>
          <w:bCs/>
        </w:rPr>
        <w:t>slice</w:t>
      </w:r>
      <w:r w:rsidR="00543E91">
        <w:rPr>
          <w:bCs/>
        </w:rPr>
        <w:t xml:space="preserve"> that </w:t>
      </w:r>
      <w:r w:rsidR="0087699F">
        <w:rPr>
          <w:bCs/>
        </w:rPr>
        <w:t>is</w:t>
      </w:r>
      <w:r w:rsidR="00543E91">
        <w:rPr>
          <w:bCs/>
        </w:rPr>
        <w:t xml:space="preserve"> allowed to be used by a UE in a cell of a RA needs to be supported in all other cells of the RA. </w:t>
      </w:r>
      <w:bookmarkEnd w:id="1"/>
      <w:r w:rsidR="00543E91">
        <w:rPr>
          <w:bCs/>
        </w:rPr>
        <w:t>Failure to do so would cause a breach of the agreement mentioned above</w:t>
      </w:r>
      <w:r w:rsidR="0087699F">
        <w:rPr>
          <w:bCs/>
        </w:rPr>
        <w:t>.</w:t>
      </w:r>
    </w:p>
    <w:p w14:paraId="5B092411" w14:textId="1186948E" w:rsidR="0087699F" w:rsidRDefault="0087699F" w:rsidP="00F1632A">
      <w:pPr>
        <w:rPr>
          <w:bCs/>
        </w:rPr>
      </w:pPr>
      <w:r>
        <w:rPr>
          <w:bCs/>
        </w:rPr>
        <w:t>The principle that all cells in an RA provide uniform support for a slice is also captured in TS38.300 as below:</w:t>
      </w:r>
    </w:p>
    <w:p w14:paraId="01621A1D" w14:textId="77777777" w:rsidR="0087699F" w:rsidRPr="0087699F" w:rsidRDefault="0087699F" w:rsidP="0087699F">
      <w:pPr>
        <w:rPr>
          <w:b/>
          <w:i/>
          <w:iCs/>
        </w:rPr>
      </w:pPr>
      <w:r w:rsidRPr="0087699F">
        <w:rPr>
          <w:b/>
          <w:i/>
          <w:iCs/>
        </w:rPr>
        <w:t>Slice Availability</w:t>
      </w:r>
    </w:p>
    <w:p w14:paraId="2B907CE3" w14:textId="77777777" w:rsidR="0087699F" w:rsidRPr="0087699F" w:rsidRDefault="0087699F" w:rsidP="0087699F">
      <w:pPr>
        <w:pStyle w:val="B1"/>
        <w:rPr>
          <w:i/>
          <w:iCs/>
          <w:lang w:val="en-GB"/>
        </w:rPr>
      </w:pPr>
      <w:r w:rsidRPr="0087699F">
        <w:rPr>
          <w:i/>
          <w:iCs/>
          <w:lang w:val="en-GB"/>
        </w:rPr>
        <w:t>-</w:t>
      </w:r>
      <w:r w:rsidRPr="0087699F">
        <w:rPr>
          <w:i/>
          <w:iCs/>
          <w:lang w:val="en-GB"/>
        </w:rPr>
        <w:tab/>
      </w:r>
      <w:r w:rsidRPr="00DB0A9A">
        <w:rPr>
          <w:i/>
          <w:iCs/>
          <w:highlight w:val="yellow"/>
          <w:lang w:val="en-GB"/>
        </w:rPr>
        <w:t>Some slices may be available only in part of the network</w:t>
      </w:r>
      <w:r w:rsidRPr="0087699F">
        <w:rPr>
          <w:i/>
          <w:iCs/>
          <w:lang w:val="en-GB"/>
        </w:rPr>
        <w:t xml:space="preserve">. The NG-RAN supported S-NSSAI(s) is configured by OAM. Awareness in the NG-RAN of the slices supported in the cells of its neighbours may be beneficial for inter-frequency mobility in connected mode. </w:t>
      </w:r>
      <w:r w:rsidRPr="0087699F">
        <w:rPr>
          <w:i/>
          <w:iCs/>
          <w:highlight w:val="yellow"/>
          <w:lang w:val="en-GB"/>
        </w:rPr>
        <w:t xml:space="preserve">It is assumed that the slice </w:t>
      </w:r>
      <w:r w:rsidRPr="0087699F">
        <w:rPr>
          <w:rFonts w:eastAsia="Malgun Gothic"/>
          <w:i/>
          <w:iCs/>
          <w:highlight w:val="yellow"/>
          <w:lang w:val="en-GB" w:eastAsia="ko-KR"/>
        </w:rPr>
        <w:t xml:space="preserve">availability </w:t>
      </w:r>
      <w:r w:rsidRPr="0087699F">
        <w:rPr>
          <w:i/>
          <w:iCs/>
          <w:highlight w:val="yellow"/>
          <w:lang w:val="en-GB"/>
        </w:rPr>
        <w:t>does not change within the UE's registration area.</w:t>
      </w:r>
    </w:p>
    <w:p w14:paraId="6113ECB3" w14:textId="77777777" w:rsidR="0087699F" w:rsidRPr="0087699F" w:rsidRDefault="0087699F" w:rsidP="0087699F">
      <w:pPr>
        <w:pStyle w:val="B1"/>
        <w:rPr>
          <w:i/>
          <w:iCs/>
          <w:lang w:val="en-GB"/>
        </w:rPr>
      </w:pPr>
      <w:r w:rsidRPr="0087699F">
        <w:rPr>
          <w:i/>
          <w:iCs/>
          <w:lang w:val="en-GB"/>
        </w:rPr>
        <w:t>-</w:t>
      </w:r>
      <w:r w:rsidRPr="0087699F">
        <w:rPr>
          <w:i/>
          <w:iCs/>
          <w:lang w:val="en-GB"/>
        </w:rPr>
        <w:tab/>
        <w:t xml:space="preserve">The NG-RAN and the 5GC are responsible to handle a service request for a slice that may or may not be available in a given area. </w:t>
      </w:r>
      <w:bookmarkStart w:id="2" w:name="_Hlk53488984"/>
      <w:r w:rsidRPr="0087699F">
        <w:rPr>
          <w:i/>
          <w:iCs/>
          <w:lang w:val="en-GB"/>
        </w:rPr>
        <w:t>Admission or rejection of access to a slice may depend by factors such as support for the slice, availability of resources, support of the requested service by NG-RAN.</w:t>
      </w:r>
    </w:p>
    <w:bookmarkEnd w:id="2"/>
    <w:p w14:paraId="72FDD16B" w14:textId="546C8B5F" w:rsidR="0087699F" w:rsidRDefault="0087699F" w:rsidP="00F1632A">
      <w:pPr>
        <w:rPr>
          <w:bCs/>
        </w:rPr>
      </w:pPr>
    </w:p>
    <w:p w14:paraId="632B92BA" w14:textId="093286B4" w:rsidR="0087699F" w:rsidRDefault="0087699F" w:rsidP="00F1632A">
      <w:pPr>
        <w:rPr>
          <w:bCs/>
        </w:rPr>
      </w:pPr>
      <w:r>
        <w:rPr>
          <w:bCs/>
        </w:rPr>
        <w:t>The text highlighted above implies that if an S-NSSAI is supported in one cell of an RA, that S-NSSAI’s availability “</w:t>
      </w:r>
      <w:r w:rsidRPr="00DB0A9A">
        <w:rPr>
          <w:i/>
          <w:iCs/>
        </w:rPr>
        <w:t>does not change within the UE's registration area</w:t>
      </w:r>
      <w:r>
        <w:rPr>
          <w:bCs/>
        </w:rPr>
        <w:t>”.</w:t>
      </w:r>
    </w:p>
    <w:p w14:paraId="72666A60" w14:textId="487CB158" w:rsidR="0087699F" w:rsidRDefault="0087699F" w:rsidP="00F1632A">
      <w:pPr>
        <w:rPr>
          <w:bCs/>
        </w:rPr>
      </w:pPr>
    </w:p>
    <w:p w14:paraId="6B3D9520" w14:textId="25EFADA7" w:rsidR="0087699F" w:rsidRPr="0087699F" w:rsidRDefault="0087699F" w:rsidP="00F1632A">
      <w:pPr>
        <w:rPr>
          <w:bCs/>
        </w:rPr>
      </w:pPr>
      <w:r>
        <w:rPr>
          <w:bCs/>
        </w:rPr>
        <w:t>The text in TS38.300 stating that “</w:t>
      </w:r>
      <w:r w:rsidRPr="0087699F">
        <w:rPr>
          <w:bCs/>
          <w:i/>
          <w:iCs/>
        </w:rPr>
        <w:t>Admission or rejection of access to a slice may depend by factors such as support for the slice, availability of resources, support of the requested service by NG-RAN.</w:t>
      </w:r>
      <w:r>
        <w:rPr>
          <w:bCs/>
        </w:rPr>
        <w:t xml:space="preserve">”, has been added also to highlight that there is a mechanism at the RAN by which access to a slice that is not supported can be rejected. This could be the case of a UE requesting access to a slice that is </w:t>
      </w:r>
      <w:r w:rsidR="00DB0A9A">
        <w:rPr>
          <w:bCs/>
        </w:rPr>
        <w:t>not supported by the RAN</w:t>
      </w:r>
      <w:r>
        <w:rPr>
          <w:bCs/>
        </w:rPr>
        <w:t>.</w:t>
      </w:r>
    </w:p>
    <w:p w14:paraId="7615E0EE" w14:textId="77777777" w:rsidR="0087699F" w:rsidRPr="0087699F" w:rsidRDefault="0087699F" w:rsidP="00F1632A">
      <w:pPr>
        <w:rPr>
          <w:b/>
        </w:rPr>
      </w:pPr>
    </w:p>
    <w:p w14:paraId="05D96AA0" w14:textId="72801FB2" w:rsidR="0087699F" w:rsidRPr="0087699F" w:rsidRDefault="0087699F" w:rsidP="00F1632A">
      <w:pPr>
        <w:rPr>
          <w:b/>
        </w:rPr>
      </w:pPr>
      <w:r w:rsidRPr="0087699F">
        <w:rPr>
          <w:b/>
        </w:rPr>
        <w:t xml:space="preserve">Conclusion 1: Based on the agreements in RAN3 and </w:t>
      </w:r>
      <w:r w:rsidR="00DB0A9A">
        <w:rPr>
          <w:b/>
        </w:rPr>
        <w:t xml:space="preserve">based </w:t>
      </w:r>
      <w:r w:rsidRPr="0087699F">
        <w:rPr>
          <w:b/>
        </w:rPr>
        <w:t>on the text in TS38.300 it can be concluded that each cell in the tracking area supports the same S-NSSAI(s)</w:t>
      </w:r>
    </w:p>
    <w:p w14:paraId="7CD5C85C" w14:textId="17AC9783" w:rsidR="0087699F" w:rsidRDefault="0087699F" w:rsidP="00F1632A">
      <w:pPr>
        <w:rPr>
          <w:bCs/>
        </w:rPr>
      </w:pPr>
    </w:p>
    <w:p w14:paraId="533D3409" w14:textId="384CD1BF" w:rsidR="0087699F" w:rsidRDefault="0087699F" w:rsidP="00F1632A">
      <w:pPr>
        <w:rPr>
          <w:bCs/>
        </w:rPr>
      </w:pPr>
      <w:r>
        <w:rPr>
          <w:bCs/>
        </w:rPr>
        <w:t>Given the above understanding</w:t>
      </w:r>
      <w:r w:rsidR="00DB0A9A">
        <w:rPr>
          <w:bCs/>
        </w:rPr>
        <w:t>,</w:t>
      </w:r>
      <w:r>
        <w:rPr>
          <w:bCs/>
        </w:rPr>
        <w:t xml:space="preserve"> from a RAN point of view, there are no mechanisms considered in the RAN specifications that can address the scenario described in the SA2 LS in bullet 2a). </w:t>
      </w:r>
    </w:p>
    <w:p w14:paraId="28BF3281" w14:textId="49E3839B" w:rsidR="0087699F" w:rsidRDefault="0087699F" w:rsidP="00F1632A">
      <w:pPr>
        <w:rPr>
          <w:bCs/>
        </w:rPr>
      </w:pPr>
      <w:r>
        <w:rPr>
          <w:bCs/>
        </w:rPr>
        <w:t>Likewise, there is no provisioning in the RAN for mechanisms to handle the case</w:t>
      </w:r>
      <w:r w:rsidR="00DB0A9A">
        <w:rPr>
          <w:bCs/>
        </w:rPr>
        <w:t xml:space="preserve"> in 2b), i.e.</w:t>
      </w:r>
      <w:r>
        <w:rPr>
          <w:bCs/>
        </w:rPr>
        <w:t xml:space="preserve"> rejection of an S-NSSAI in an area where this is allowed. Of course, the RAN can reject access to a supported S-NSSAI due to e.g. lack of resources. However, such rejection does not imply that the S-NSSAI is not supported</w:t>
      </w:r>
      <w:r w:rsidR="003973B9">
        <w:rPr>
          <w:bCs/>
        </w:rPr>
        <w:t xml:space="preserve"> and the UE may be free to retry access to the same slice at a later stage. </w:t>
      </w:r>
    </w:p>
    <w:p w14:paraId="3FCB1158" w14:textId="1DA3AE78" w:rsidR="003973B9" w:rsidRDefault="003973B9" w:rsidP="00F1632A">
      <w:pPr>
        <w:rPr>
          <w:bCs/>
        </w:rPr>
      </w:pPr>
      <w:r>
        <w:rPr>
          <w:bCs/>
        </w:rPr>
        <w:t xml:space="preserve">The RAN can also reject access to a </w:t>
      </w:r>
      <w:r w:rsidR="00E75061">
        <w:rPr>
          <w:bCs/>
        </w:rPr>
        <w:t>slice that is not served (with rejection cause “Slice(s) not supported) or not available for resource reasons (with rejection cause “</w:t>
      </w:r>
      <w:r w:rsidR="00E75061" w:rsidRPr="003A1008">
        <w:rPr>
          <w:bCs/>
        </w:rPr>
        <w:t xml:space="preserve">Resources not available at the slice(s)”) </w:t>
      </w:r>
      <w:r w:rsidRPr="003A1008">
        <w:rPr>
          <w:bCs/>
        </w:rPr>
        <w:t xml:space="preserve"> by</w:t>
      </w:r>
      <w:r>
        <w:rPr>
          <w:bCs/>
        </w:rPr>
        <w:t xml:space="preserve"> means of rejecting </w:t>
      </w:r>
      <w:r w:rsidR="00E75061">
        <w:rPr>
          <w:bCs/>
        </w:rPr>
        <w:t xml:space="preserve">resource allocation for </w:t>
      </w:r>
      <w:r>
        <w:rPr>
          <w:bCs/>
        </w:rPr>
        <w:t>one or more PDU Session associated with the slice. This would happen over the NG interface and via the UE Context Management procedures. The RAN specifications do not specify whether such a PDU Session rejection triggers in turn a NAS rejection for the requested slice. However, if the UE is subject to a NAS rejection of a given S-NSSAI, the description in TS23.501 specifies that</w:t>
      </w:r>
      <w:r w:rsidR="00E75061">
        <w:rPr>
          <w:bCs/>
        </w:rPr>
        <w:t>:</w:t>
      </w:r>
    </w:p>
    <w:p w14:paraId="5740C974" w14:textId="79960CAB" w:rsidR="003973B9" w:rsidRPr="003973B9" w:rsidRDefault="003973B9" w:rsidP="00F1632A">
      <w:r>
        <w:rPr>
          <w:bCs/>
        </w:rPr>
        <w:t>“</w:t>
      </w:r>
      <w:r w:rsidRPr="003973B9">
        <w:rPr>
          <w:i/>
          <w:iCs/>
        </w:rPr>
        <w:t>While it remains RM-REGISTERED in the PLMN, the UE shall not re-attempt to register to an S-NSSAI rejected in the current Registration Area until it moves out of the current Registration Area.</w:t>
      </w:r>
      <w:r>
        <w:rPr>
          <w:bCs/>
        </w:rPr>
        <w:t xml:space="preserve">”  </w:t>
      </w:r>
    </w:p>
    <w:p w14:paraId="211E9A4D" w14:textId="6C98A98E" w:rsidR="003973B9" w:rsidRDefault="003973B9" w:rsidP="00F1632A">
      <w:pPr>
        <w:rPr>
          <w:bCs/>
        </w:rPr>
      </w:pPr>
      <w:r>
        <w:rPr>
          <w:bCs/>
        </w:rPr>
        <w:lastRenderedPageBreak/>
        <w:t xml:space="preserve">Hence, the ultimate effect </w:t>
      </w:r>
      <w:r w:rsidR="00DB0A9A">
        <w:rPr>
          <w:bCs/>
        </w:rPr>
        <w:t>for</w:t>
      </w:r>
      <w:r>
        <w:rPr>
          <w:bCs/>
        </w:rPr>
        <w:t xml:space="preserve"> non-uniform support of network slices within a registration area could </w:t>
      </w:r>
      <w:r w:rsidR="00DB0A9A">
        <w:rPr>
          <w:bCs/>
        </w:rPr>
        <w:t>be</w:t>
      </w:r>
      <w:r>
        <w:rPr>
          <w:bCs/>
        </w:rPr>
        <w:t xml:space="preserve"> the rejection of the not supported S-NSSAI, implying that such S-NSSAI cannot be requested any longer by the UE unless the UE moves out of the RA.  </w:t>
      </w:r>
    </w:p>
    <w:p w14:paraId="62544432" w14:textId="44D15A8B" w:rsidR="003973B9" w:rsidRPr="003973B9" w:rsidRDefault="003973B9" w:rsidP="00F1632A">
      <w:pPr>
        <w:rPr>
          <w:b/>
        </w:rPr>
      </w:pPr>
      <w:r w:rsidRPr="003973B9">
        <w:rPr>
          <w:b/>
        </w:rPr>
        <w:t>Conclusion 2: The RAN specifications do not cater for any mechanism to cope with the event of non-uniform slice support within a RA because the assumption has been that such support is uniform within the RA.</w:t>
      </w:r>
    </w:p>
    <w:p w14:paraId="4559CF2D" w14:textId="77777777" w:rsidR="00120883" w:rsidRPr="00CE0424" w:rsidRDefault="00120883" w:rsidP="00120883">
      <w:pPr>
        <w:pStyle w:val="Heading1"/>
      </w:pPr>
      <w:r w:rsidRPr="00CE0424">
        <w:t>Conclusion</w:t>
      </w:r>
    </w:p>
    <w:p w14:paraId="11BA1C8F" w14:textId="422A6F30" w:rsidR="00130563" w:rsidRDefault="003973B9" w:rsidP="00120883">
      <w:pPr>
        <w:rPr>
          <w:lang w:eastAsia="zh-CN"/>
        </w:rPr>
      </w:pPr>
      <w:bookmarkStart w:id="3" w:name="_In-sequence_SDU_delivery"/>
      <w:bookmarkEnd w:id="3"/>
      <w:r>
        <w:t xml:space="preserve">In this contribution, the LS from SA2 in </w:t>
      </w:r>
      <w:r>
        <w:rPr>
          <w:lang w:eastAsia="zh-CN"/>
        </w:rPr>
        <w:t>S2-2006526 has been analysed and the following conclusions have been taken:</w:t>
      </w:r>
    </w:p>
    <w:p w14:paraId="17C88CD0" w14:textId="77777777" w:rsidR="00DB0A9A" w:rsidRPr="0087699F" w:rsidRDefault="00DB0A9A" w:rsidP="00DB0A9A">
      <w:pPr>
        <w:rPr>
          <w:b/>
        </w:rPr>
      </w:pPr>
      <w:r w:rsidRPr="0087699F">
        <w:rPr>
          <w:b/>
        </w:rPr>
        <w:t xml:space="preserve">Conclusion 1: Based on the agreements in RAN3 and </w:t>
      </w:r>
      <w:r>
        <w:rPr>
          <w:b/>
        </w:rPr>
        <w:t xml:space="preserve">based </w:t>
      </w:r>
      <w:r w:rsidRPr="0087699F">
        <w:rPr>
          <w:b/>
        </w:rPr>
        <w:t>on the text in TS38.300 it can be concluded that each cell in the tracking area supports the same S-NSSAI(s)</w:t>
      </w:r>
    </w:p>
    <w:p w14:paraId="50C0A3E7" w14:textId="77777777" w:rsidR="003973B9" w:rsidRPr="003973B9" w:rsidRDefault="003973B9" w:rsidP="003973B9">
      <w:pPr>
        <w:rPr>
          <w:b/>
        </w:rPr>
      </w:pPr>
      <w:r w:rsidRPr="003973B9">
        <w:rPr>
          <w:b/>
        </w:rPr>
        <w:t>Conclusion 2: The RAN specifications do not cater for any mechanism to cope with the event of non-uniform slice support within a RA because the assumption has been that such support is uniform within the RA.</w:t>
      </w:r>
    </w:p>
    <w:p w14:paraId="70F86278" w14:textId="76F0D8AE" w:rsidR="003973B9" w:rsidRPr="00DE09D8" w:rsidRDefault="003973B9" w:rsidP="00120883">
      <w:r>
        <w:t>It is proposed to agree to the reply LS from SA2 in R3-20</w:t>
      </w:r>
      <w:r w:rsidR="003A1008">
        <w:t>6541</w:t>
      </w:r>
      <w:bookmarkStart w:id="4" w:name="_GoBack"/>
      <w:bookmarkEnd w:id="4"/>
      <w:r>
        <w:t>.</w:t>
      </w:r>
    </w:p>
    <w:sectPr w:rsidR="003973B9" w:rsidRPr="00DE09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3"/>
  </w:num>
  <w:num w:numId="11">
    <w:abstractNumId w:val="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66351"/>
    <w:rsid w:val="000739FD"/>
    <w:rsid w:val="000976AF"/>
    <w:rsid w:val="000B6133"/>
    <w:rsid w:val="000E4F8E"/>
    <w:rsid w:val="000E71E2"/>
    <w:rsid w:val="000E7754"/>
    <w:rsid w:val="00103118"/>
    <w:rsid w:val="00120883"/>
    <w:rsid w:val="00130563"/>
    <w:rsid w:val="001548C8"/>
    <w:rsid w:val="001B502F"/>
    <w:rsid w:val="002035BD"/>
    <w:rsid w:val="00213BF1"/>
    <w:rsid w:val="00225B92"/>
    <w:rsid w:val="00284DC0"/>
    <w:rsid w:val="00297415"/>
    <w:rsid w:val="002B6D4C"/>
    <w:rsid w:val="002F26F0"/>
    <w:rsid w:val="003315D1"/>
    <w:rsid w:val="00343D0A"/>
    <w:rsid w:val="00376527"/>
    <w:rsid w:val="003973B9"/>
    <w:rsid w:val="003A1008"/>
    <w:rsid w:val="003D7B53"/>
    <w:rsid w:val="003F5AD2"/>
    <w:rsid w:val="00413369"/>
    <w:rsid w:val="00416554"/>
    <w:rsid w:val="004218C7"/>
    <w:rsid w:val="00426A71"/>
    <w:rsid w:val="00451F3A"/>
    <w:rsid w:val="004815B1"/>
    <w:rsid w:val="004D3373"/>
    <w:rsid w:val="005121DC"/>
    <w:rsid w:val="005142A3"/>
    <w:rsid w:val="00535E10"/>
    <w:rsid w:val="00543E91"/>
    <w:rsid w:val="005B0031"/>
    <w:rsid w:val="005C59AB"/>
    <w:rsid w:val="005E3D4E"/>
    <w:rsid w:val="005F01DE"/>
    <w:rsid w:val="00654873"/>
    <w:rsid w:val="006748C4"/>
    <w:rsid w:val="006E1914"/>
    <w:rsid w:val="007044DE"/>
    <w:rsid w:val="00797D35"/>
    <w:rsid w:val="00855253"/>
    <w:rsid w:val="00871600"/>
    <w:rsid w:val="0087699F"/>
    <w:rsid w:val="008A33DB"/>
    <w:rsid w:val="008A6DD8"/>
    <w:rsid w:val="008B1BFF"/>
    <w:rsid w:val="008C2F5F"/>
    <w:rsid w:val="008D1866"/>
    <w:rsid w:val="008E37E8"/>
    <w:rsid w:val="0090204C"/>
    <w:rsid w:val="009465BB"/>
    <w:rsid w:val="00961F73"/>
    <w:rsid w:val="009621BE"/>
    <w:rsid w:val="009B6988"/>
    <w:rsid w:val="00A17483"/>
    <w:rsid w:val="00A23BCA"/>
    <w:rsid w:val="00A26705"/>
    <w:rsid w:val="00A557DD"/>
    <w:rsid w:val="00A570DA"/>
    <w:rsid w:val="00A64F55"/>
    <w:rsid w:val="00A65AA9"/>
    <w:rsid w:val="00A75CB2"/>
    <w:rsid w:val="00A94A8F"/>
    <w:rsid w:val="00B01027"/>
    <w:rsid w:val="00B061D5"/>
    <w:rsid w:val="00B31945"/>
    <w:rsid w:val="00BB323A"/>
    <w:rsid w:val="00BB33EB"/>
    <w:rsid w:val="00BD2CC4"/>
    <w:rsid w:val="00C15784"/>
    <w:rsid w:val="00C40ACE"/>
    <w:rsid w:val="00C53581"/>
    <w:rsid w:val="00C560C6"/>
    <w:rsid w:val="00C67519"/>
    <w:rsid w:val="00C814D0"/>
    <w:rsid w:val="00C95BFD"/>
    <w:rsid w:val="00CF4A61"/>
    <w:rsid w:val="00D04276"/>
    <w:rsid w:val="00D26B9F"/>
    <w:rsid w:val="00D7216D"/>
    <w:rsid w:val="00DB0A9A"/>
    <w:rsid w:val="00DE09D8"/>
    <w:rsid w:val="00E64747"/>
    <w:rsid w:val="00E75061"/>
    <w:rsid w:val="00E83301"/>
    <w:rsid w:val="00EC2E7E"/>
    <w:rsid w:val="00ED6B3C"/>
    <w:rsid w:val="00F14E67"/>
    <w:rsid w:val="00F1632A"/>
    <w:rsid w:val="00F31F5C"/>
    <w:rsid w:val="00F4071F"/>
    <w:rsid w:val="00F54274"/>
    <w:rsid w:val="00F84E4E"/>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99F"/>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overflowPunct/>
      <w:autoSpaceDE/>
      <w:autoSpaceDN/>
      <w:adjustRightInd/>
      <w:spacing w:before="120" w:after="160" w:line="259" w:lineRule="auto"/>
      <w:outlineLvl w:val="5"/>
    </w:pPr>
    <w:rPr>
      <w:rFonts w:asciiTheme="minorHAnsi" w:eastAsiaTheme="minorHAnsi" w:hAnsiTheme="minorHAnsi" w:cs="Arial"/>
      <w:sz w:val="22"/>
      <w:szCs w:val="22"/>
      <w:lang w:val="sv-SE" w:eastAsia="en-US"/>
    </w:rPr>
  </w:style>
  <w:style w:type="paragraph" w:styleId="Heading7">
    <w:name w:val="heading 7"/>
    <w:basedOn w:val="Normal"/>
    <w:next w:val="Normal"/>
    <w:link w:val="Heading7Char"/>
    <w:qFormat/>
    <w:rsid w:val="00120883"/>
    <w:pPr>
      <w:keepNext/>
      <w:keepLines/>
      <w:numPr>
        <w:ilvl w:val="6"/>
        <w:numId w:val="1"/>
      </w:numPr>
      <w:overflowPunct/>
      <w:autoSpaceDE/>
      <w:autoSpaceDN/>
      <w:adjustRightInd/>
      <w:spacing w:before="120" w:after="160" w:line="259" w:lineRule="auto"/>
      <w:outlineLvl w:val="6"/>
    </w:pPr>
    <w:rPr>
      <w:rFonts w:asciiTheme="minorHAnsi" w:eastAsiaTheme="minorHAnsi" w:hAnsiTheme="minorHAnsi" w:cs="Arial"/>
      <w:sz w:val="22"/>
      <w:szCs w:val="22"/>
      <w:lang w:val="sv-SE" w:eastAsia="en-US"/>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overflowPunct/>
      <w:autoSpaceDE/>
      <w:autoSpaceDN/>
      <w:adjustRightInd/>
      <w:spacing w:after="240" w:line="259" w:lineRule="auto"/>
    </w:pPr>
    <w:rPr>
      <w:rFonts w:asciiTheme="minorHAnsi" w:eastAsiaTheme="minorHAnsi" w:hAnsiTheme="minorHAnsi" w:cstheme="minorBidi"/>
      <w:b/>
      <w:sz w:val="24"/>
      <w:szCs w:val="22"/>
      <w:lang w:val="sv-SE" w:eastAsia="en-US"/>
    </w:rPr>
  </w:style>
  <w:style w:type="paragraph" w:customStyle="1" w:styleId="Reference">
    <w:name w:val="Reference"/>
    <w:basedOn w:val="Normal"/>
    <w:rsid w:val="00120883"/>
    <w:pPr>
      <w:numPr>
        <w:numId w:val="2"/>
      </w:numPr>
      <w:overflowPunct/>
      <w:autoSpaceDE/>
      <w:autoSpaceDN/>
      <w:adjustRightInd/>
      <w:spacing w:after="160" w:line="259" w:lineRule="auto"/>
    </w:pPr>
    <w:rPr>
      <w:rFonts w:asciiTheme="minorHAnsi" w:eastAsiaTheme="minorHAnsi" w:hAnsiTheme="minorHAnsi" w:cstheme="minorBidi"/>
      <w:sz w:val="22"/>
      <w:szCs w:val="22"/>
      <w:lang w:val="sv-SE" w:eastAsia="en-US"/>
    </w:rPr>
  </w:style>
  <w:style w:type="paragraph" w:styleId="BodyText">
    <w:name w:val="Body Text"/>
    <w:basedOn w:val="Normal"/>
    <w:link w:val="BodyTextChar"/>
    <w:rsid w:val="00120883"/>
    <w:pPr>
      <w:overflowPunct/>
      <w:autoSpaceDE/>
      <w:autoSpaceDN/>
      <w:adjustRightInd/>
      <w:spacing w:after="160" w:line="259" w:lineRule="auto"/>
    </w:pPr>
    <w:rPr>
      <w:rFonts w:asciiTheme="minorHAnsi" w:eastAsiaTheme="minorHAnsi" w:hAnsiTheme="minorHAnsi" w:cstheme="minorBidi"/>
      <w:sz w:val="22"/>
      <w:szCs w:val="22"/>
      <w:lang w:val="sv-SE" w:eastAsia="en-US"/>
    </w:rPr>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overflowPunct/>
      <w:autoSpaceDE/>
      <w:autoSpaceDN/>
      <w:adjustRightInd/>
      <w:spacing w:after="160" w:line="259" w:lineRule="auto"/>
    </w:pPr>
    <w:rPr>
      <w:rFonts w:asciiTheme="minorHAnsi" w:eastAsiaTheme="minorHAnsi" w:hAnsiTheme="minorHAnsi" w:cstheme="minorBidi"/>
      <w:b/>
      <w:bCs/>
      <w:sz w:val="22"/>
      <w:szCs w:val="22"/>
      <w:lang w:val="sv-SE" w:eastAsia="en-U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spacing w:after="120"/>
      <w:ind w:left="720"/>
      <w:contextualSpacing/>
      <w:jc w:val="both"/>
      <w:textAlignment w:val="baseline"/>
    </w:pPr>
    <w:rPr>
      <w:rFonts w:ascii="Arial" w:hAnsi="Arial"/>
      <w:lang w:eastAsia="zh-CN"/>
    </w:rPr>
  </w:style>
  <w:style w:type="paragraph" w:styleId="BalloonText">
    <w:name w:val="Balloon Text"/>
    <w:basedOn w:val="Normal"/>
    <w:link w:val="BalloonTextChar"/>
    <w:uiPriority w:val="99"/>
    <w:semiHidden/>
    <w:unhideWhenUsed/>
    <w:rsid w:val="00B31945"/>
    <w:pPr>
      <w:overflowPunct/>
      <w:autoSpaceDE/>
      <w:autoSpaceDN/>
      <w:adjustRightInd/>
      <w:spacing w:after="0"/>
    </w:pPr>
    <w:rPr>
      <w:rFonts w:ascii="Segoe UI" w:eastAsiaTheme="minorHAnsi" w:hAnsi="Segoe UI" w:cs="Segoe UI"/>
      <w:sz w:val="18"/>
      <w:szCs w:val="18"/>
      <w:lang w:val="sv-SE" w:eastAsia="en-US"/>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spacing w:after="0"/>
      <w:textAlignment w:val="baseline"/>
    </w:pPr>
    <w:rPr>
      <w:rFonts w:ascii="Arial" w:hAnsi="Arial"/>
      <w:sz w:val="18"/>
      <w:lang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overflowPunct/>
      <w:autoSpaceDE/>
      <w:autoSpaceDN/>
      <w:adjustRightInd/>
      <w:spacing w:after="160"/>
    </w:pPr>
    <w:rPr>
      <w:rFonts w:asciiTheme="minorHAnsi" w:eastAsiaTheme="minorHAnsi" w:hAnsiTheme="minorHAnsi" w:cstheme="minorBidi"/>
      <w:lang w:val="sv-SE" w:eastAsia="en-US"/>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 w:type="character" w:customStyle="1" w:styleId="apple-converted-space">
    <w:name w:val="apple-converted-space"/>
    <w:basedOn w:val="DefaultParagraphFont"/>
    <w:rsid w:val="00BD2CC4"/>
  </w:style>
  <w:style w:type="character" w:styleId="Strong">
    <w:name w:val="Strong"/>
    <w:basedOn w:val="DefaultParagraphFont"/>
    <w:uiPriority w:val="22"/>
    <w:qFormat/>
    <w:rsid w:val="00BD2CC4"/>
    <w:rPr>
      <w:b/>
      <w:bCs/>
    </w:rPr>
  </w:style>
  <w:style w:type="character" w:customStyle="1" w:styleId="B1Zchn">
    <w:name w:val="B1 Zchn"/>
    <w:link w:val="B1"/>
    <w:locked/>
    <w:rsid w:val="0087699F"/>
  </w:style>
  <w:style w:type="paragraph" w:customStyle="1" w:styleId="B1">
    <w:name w:val="B1"/>
    <w:basedOn w:val="List"/>
    <w:link w:val="B1Zchn"/>
    <w:qFormat/>
    <w:rsid w:val="0087699F"/>
    <w:pPr>
      <w:ind w:left="568" w:hanging="284"/>
      <w:contextualSpacing w:val="0"/>
    </w:pPr>
    <w:rPr>
      <w:rFonts w:asciiTheme="minorHAnsi" w:eastAsiaTheme="minorHAnsi" w:hAnsiTheme="minorHAnsi" w:cstheme="minorBidi"/>
      <w:sz w:val="22"/>
      <w:szCs w:val="22"/>
      <w:lang w:val="sv-SE" w:eastAsia="en-US"/>
    </w:rPr>
  </w:style>
  <w:style w:type="paragraph" w:styleId="List">
    <w:name w:val="List"/>
    <w:basedOn w:val="Normal"/>
    <w:uiPriority w:val="99"/>
    <w:semiHidden/>
    <w:unhideWhenUsed/>
    <w:rsid w:val="0087699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2868">
      <w:bodyDiv w:val="1"/>
      <w:marLeft w:val="0"/>
      <w:marRight w:val="0"/>
      <w:marTop w:val="0"/>
      <w:marBottom w:val="0"/>
      <w:divBdr>
        <w:top w:val="none" w:sz="0" w:space="0" w:color="auto"/>
        <w:left w:val="none" w:sz="0" w:space="0" w:color="auto"/>
        <w:bottom w:val="none" w:sz="0" w:space="0" w:color="auto"/>
        <w:right w:val="none" w:sz="0" w:space="0" w:color="auto"/>
      </w:divBdr>
    </w:div>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882985361">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cp:revision>
  <dcterms:created xsi:type="dcterms:W3CDTF">2020-10-13T11:16:00Z</dcterms:created>
  <dcterms:modified xsi:type="dcterms:W3CDTF">2020-10-22T19:26:00Z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